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9923"/>
        </w:tabs>
        <w:spacing w:after="0" w:line="36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Приложение № 1</w:t>
      </w:r>
    </w:p>
    <w:p>
      <w:pPr>
        <w:tabs>
          <w:tab w:val="left" w:pos="9923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УТВЕРЖДЕНО</w:t>
      </w:r>
    </w:p>
    <w:p>
      <w:pPr>
        <w:tabs>
          <w:tab w:val="left" w:pos="9923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постановлением </w:t>
      </w:r>
    </w:p>
    <w:p>
      <w:pPr>
        <w:tabs>
          <w:tab w:val="left" w:pos="9923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Главы Тазовского района</w:t>
      </w:r>
    </w:p>
    <w:p>
      <w:pPr>
        <w:tabs>
          <w:tab w:val="left" w:pos="9923"/>
        </w:tabs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от 14 мая 2021 года № 19-пг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ПОЛОЖЕНИЕ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о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ежегодных премиях Главы Тазовского района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за достижения в области образования «Будущее Тасу Ява»</w:t>
      </w:r>
    </w:p>
    <w:p>
      <w:pPr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tabs>
          <w:tab w:val="left" w:pos="0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pStyle w:val="a9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Общие положения</w:t>
      </w:r>
    </w:p>
    <w:p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Положение о ежегодных премиях Главы Тазовского района за достижения в области образования «Будущее Тасу Ява» (далее – Положение) регламентирует порядок и условия присуждения ежегодных премий Главы Тазовского района в области образования обучающимся образовательных организаций дошкольного, общего и дополнительного образования за выдающиеся успехи в учебной, технической и научно-исследовательской деятельности Тазовского района Ямало-Ненецкого автономного округа,                      (для учащихся 1-11 классов – «Интеллектуал года»), в декоративно-прикладных, художественных и иных видах деятельности (для воспитанников образовательных организаций дошкольного образования – «Юное дарование»), педагогам за плодотворную деятельность по сопровождению одаренных детей, наставничество, способствующим повышению интеллектуальной и творческой активности детей и молодежи муниципального округа Тазовский район Ямало-Ненецкого автономного округа («Лучший педагог-наставник»).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Цель организации отбора кандидатов на присуждение                            премий Главы Тазовского района за достижения в области образования «Будущее Тасу Ява» - поддержка и стимулирование одаренных детей, творчески работающих педагогов по сопровождению и наставничеству детей, имеющих выдающиеся способности в интеллектуальной и творческой деятельности.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Ежегодно присуждается 49 премий за достижения в области образования:</w:t>
      </w:r>
    </w:p>
    <w:p>
      <w:pPr>
        <w:pStyle w:val="a9"/>
        <w:numPr>
          <w:ilvl w:val="2"/>
          <w:numId w:val="2"/>
        </w:numPr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17 премий I степени и 32 премии II степени по следующим номинациям:</w:t>
      </w:r>
    </w:p>
    <w:p>
      <w:pPr>
        <w:pStyle w:val="a9"/>
        <w:numPr>
          <w:ilvl w:val="3"/>
          <w:numId w:val="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«Интеллектуал в области гуманитарных наук» - 9 премий: 3 премии I степени и 6 премий II степени по следующим возрастным группам:</w:t>
      </w:r>
    </w:p>
    <w:p>
      <w:pPr>
        <w:pStyle w:val="a9"/>
        <w:numPr>
          <w:ilvl w:val="0"/>
          <w:numId w:val="3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7-10 лет - 1 премия I степени и 2 премии II степени;</w:t>
      </w:r>
    </w:p>
    <w:p>
      <w:pPr>
        <w:pStyle w:val="a9"/>
        <w:numPr>
          <w:ilvl w:val="0"/>
          <w:numId w:val="3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11-14 лет - 1 премия I степени и 2 премии II степени;</w:t>
      </w:r>
    </w:p>
    <w:p>
      <w:pPr>
        <w:pStyle w:val="a9"/>
        <w:numPr>
          <w:ilvl w:val="0"/>
          <w:numId w:val="3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14-18 лет - 1 премия I степени и 2 премии II степени;</w:t>
      </w:r>
    </w:p>
    <w:p>
      <w:pPr>
        <w:pStyle w:val="a9"/>
        <w:numPr>
          <w:ilvl w:val="3"/>
          <w:numId w:val="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«Интеллектуал в области естественных наук» - 9 премий:                            3 премии I степени и 6 премий II степени по следующим возрастным группам:</w:t>
      </w:r>
    </w:p>
    <w:p>
      <w:pPr>
        <w:pStyle w:val="a9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7-10 лет - 1 премия I степени и 2 премии II степени;</w:t>
      </w:r>
    </w:p>
    <w:p>
      <w:pPr>
        <w:pStyle w:val="a9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11-14 лет - 1 премия I степени и 2 премии II степени;</w:t>
      </w:r>
    </w:p>
    <w:p>
      <w:pPr>
        <w:pStyle w:val="a9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14-18 лет - 1 премия I степени и 2 премии II степени;</w:t>
      </w:r>
    </w:p>
    <w:p>
      <w:pPr>
        <w:pStyle w:val="a9"/>
        <w:numPr>
          <w:ilvl w:val="3"/>
          <w:numId w:val="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«Интеллектуал в области </w:t>
      </w:r>
      <w:r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IT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физико-математических наук» - 9 премий: 3 премии I степени и 6 премий II степени по следующим возрастным группам:</w:t>
      </w:r>
    </w:p>
    <w:p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7-10 лет - 1 премия I степени и 2 премии II степени;</w:t>
      </w:r>
    </w:p>
    <w:p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11-14 лет - 1 премия I степени и 2 премии II степени;</w:t>
      </w:r>
    </w:p>
    <w:p>
      <w:pPr>
        <w:pStyle w:val="a9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14-18 лет - 1 премия I степени и 2 премии II степени;</w:t>
      </w:r>
    </w:p>
    <w:p>
      <w:pPr>
        <w:pStyle w:val="a9"/>
        <w:numPr>
          <w:ilvl w:val="3"/>
          <w:numId w:val="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«Интеллектуал в области этнокультурного образования» -                               9 премий: 3 премии I степени и 6 премий II степени по следующим возрастным группам:</w:t>
      </w:r>
    </w:p>
    <w:p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7-10 лет - 1 премия I степени и 2 премии II степени;</w:t>
      </w:r>
    </w:p>
    <w:p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11-14 лет - 1 премия I степени и 2 премии II степени;</w:t>
      </w:r>
    </w:p>
    <w:p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14-18 лет - 1 премия I степени и 2 премии II степени;</w:t>
      </w:r>
    </w:p>
    <w:p>
      <w:pPr>
        <w:pStyle w:val="a9"/>
        <w:numPr>
          <w:ilvl w:val="3"/>
          <w:numId w:val="2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«Интеллектуал в области технических наук» - 9 премий: 3 премии I степени и 6 премий II степени по следующим возрастным группам:</w:t>
      </w:r>
    </w:p>
    <w:p>
      <w:pPr>
        <w:pStyle w:val="a9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7-10 лет - 1 премия I степени и 2 премии II степени;</w:t>
      </w:r>
    </w:p>
    <w:p>
      <w:pPr>
        <w:pStyle w:val="a9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11-14 лет - 1 премия I степени и 2 премии II степени;</w:t>
      </w:r>
    </w:p>
    <w:p>
      <w:pPr>
        <w:pStyle w:val="a9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14-18 лет - 1 премия I степени и 2 премии II степени;</w:t>
      </w:r>
    </w:p>
    <w:p>
      <w:pPr>
        <w:pStyle w:val="a9"/>
        <w:numPr>
          <w:ilvl w:val="3"/>
          <w:numId w:val="2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«Юное дарование» - 3 поощрительных приза: 1 приз, равнозначный премии I степени, и 2 приза, равнозначных премии II степени;</w:t>
      </w:r>
    </w:p>
    <w:p>
      <w:pPr>
        <w:pStyle w:val="a9"/>
        <w:numPr>
          <w:ilvl w:val="3"/>
          <w:numId w:val="2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«Лучший педагог-наставник» - 1 премия I степени;</w:t>
      </w:r>
    </w:p>
    <w:p>
      <w:pPr>
        <w:pStyle w:val="a9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Кандидатами на получение премий по номинациям, указанным                         в подпункте 1.2.1 настоящего Положения, могут быть обучающиеся                               и педагогические работники образовательных организаций Тазовского района: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номинации, указанной в подпункте 1.2.1.1 настоящего Положения, - учащиеся общеобразовательных организаций, организаций дополнительного образования детей Тазовского района, показавшие наиболее высокие результаты в области гуманитарных наук за 2 последних учебных года: русский язык и литература, иностранный язык, история, обществознание, экономика, право;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номинации, указанной в подпункте 1.2.1.2 настоящего Положения, - учащиеся общеобразовательных организаций, организаций дополнительного образования детей Тазовского района, показавшие наиболее высокие результаты в области естественных наук за 2 последних учебных года: природоведение, ознакомление с окружающим миром, биология, география, химия, экология;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номинации, указанной в подпункте 1.2.1.3 настоящего Положения, - учащиеся общеобразовательных организаций, организаций дополнительного образования детей Тазовского района, показавшие наиболее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высокие результаты в области </w:t>
      </w:r>
      <w:r>
        <w:rPr>
          <w:rFonts w:ascii="PT Astra Serif" w:eastAsia="Times New Roman" w:hAnsi="PT Astra Serif" w:cs="Times New Roman"/>
          <w:sz w:val="28"/>
          <w:szCs w:val="28"/>
          <w:lang w:val="en-US" w:eastAsia="ru-RU"/>
        </w:rPr>
        <w:t>IT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физико-математических наук за 2 последних учебных года: математика, физика, информатика, программирование;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номинации, указанной в подпункте 1.2.1.4 настоящего Положения, - учащиеся общеобразовательных организаций, организаций дополнительного образования детей Тазовского района, показавшие наиболее высокие результаты в области этнокультурного образования за 2 последних учебных года: родной язык и литература, краеведение, этническая культура, фольклор;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номинации, указанной в подпункте 1.2.1.5 настоящего Положения, - учащиеся общеобразовательных организаций, организаций дополнительного образования детей Тазовского района, показавшие наиболее высокие результаты в техническом творчестве за 2 последних учебных года: научно-исследовательские работы по техническому, инженерному направлению;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номинации, указанной в подпункте 1.2.1.6 настоящего Положения, - воспитанники образовательных организаций дошкольного образования в возрасте 5-7 лет за успехи и достижения в декоративно-прикладных, художественных и иных видах творческой и интеллектуальной деятельности за 2 последних учебных года;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номинации, указанной в пункте 1.2.1.7 настоящего Положения, - педагоги, осуществляющие сопровождение одаренных детей, наставничество, способствующие повышению интеллектуальной и творческой активности детей и молодежи за 2 последних учебных года.</w:t>
      </w:r>
    </w:p>
    <w:p>
      <w:pPr>
        <w:pStyle w:val="a9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Размер премий, указанных в пункте 1.2.1 настоящего                          Положения, составляет: премия I степени - 15 000 рублей, премия II степени – 10 000 рублей.</w:t>
      </w:r>
    </w:p>
    <w:p>
      <w:pPr>
        <w:pStyle w:val="a9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Размер премий, указанных в пункте 1.4 настоящего Положения, установлен в суммах, исчисленных до удержания налогов и сборов, установленных действующим законодательством.</w:t>
      </w:r>
    </w:p>
    <w:p>
      <w:pPr>
        <w:pStyle w:val="a9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Премии за достижения в области образования присуждаются индивидуально.</w:t>
      </w:r>
    </w:p>
    <w:p>
      <w:pPr>
        <w:pStyle w:val="a9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Выплата премий осуществляется за счет средств муниципальной программы Тазовского района «Развитие образования» на 2015-2025 годы согласно сметным расчетам, предусмотренным на эти цели.</w:t>
      </w:r>
    </w:p>
    <w:p>
      <w:pPr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pStyle w:val="a9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Порядок выдвижения кандидатур на соискание премий</w:t>
      </w:r>
    </w:p>
    <w:p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numPr>
          <w:ilvl w:val="1"/>
          <w:numId w:val="1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ar-SA"/>
        </w:rPr>
        <w:t>Выдвижение кандидатур на присуждение премии осуществляется администрациями образовательных организаций, органами ученического самоуправления образовательных организаций (далее – органы, выдвигающие кандидатуры).</w:t>
      </w:r>
    </w:p>
    <w:p>
      <w:pPr>
        <w:numPr>
          <w:ilvl w:val="1"/>
          <w:numId w:val="1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Выдвижение кандидатур на присуждение премии работникам организаций любой организационно-правовой формы, не указанных в пункте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2.1 настоящего Положения, осуществляется при наличии ходатайства органа, выдвигающего кандидатуру.</w:t>
      </w:r>
    </w:p>
    <w:p>
      <w:pPr>
        <w:numPr>
          <w:ilvl w:val="1"/>
          <w:numId w:val="1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Самовыдвижение на соискание премии не допускается.</w:t>
      </w:r>
    </w:p>
    <w:p>
      <w:pPr>
        <w:numPr>
          <w:ilvl w:val="1"/>
          <w:numId w:val="1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Органы, выдвигающие кандидатуры на присуждение премии за достижения в области образования, предоставляют в департамент образования Администрации Тазовского района до 20 мая текущего года следующие документы и материалы: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представление на кандидата для присуждения ежегодной премии Главы Тазовского района за достижения в области образования с указанием конкретных заслуг в одной из заявленных номинаций за 2 учебных года (включая летний период), предшествующих дате подачи представления,                           в электронном виде и на бумажном носителе согласно приложению № 1                                к настоящему Положению;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</w:rPr>
        <w:t>сведения о кандидате на присуждение ежегодной премии Главы Тазовского района за достижения в области образования согласно приложению № 2 к настоящему Положению;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</w:rPr>
        <w:t>копию протокола или решения коллектива (коллегиального органа), выдвигающего кандидатуру на соискание премии;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фотографию претендента на соискание премии на бумажном и электронном носителе;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копию паспорта/свидетельства о рождении;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копию страхового свидетельства государственного пенсионного страхования;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копию свидетельства о постановке на налоговый учет;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согласие на обработку персональных данных </w:t>
      </w:r>
      <w:r>
        <w:rPr>
          <w:rFonts w:ascii="PT Astra Serif" w:eastAsia="Times New Roman" w:hAnsi="PT Astra Serif" w:cs="Times New Roman"/>
          <w:sz w:val="28"/>
          <w:szCs w:val="28"/>
        </w:rPr>
        <w:t>образования согласно приложению № 3 к настоящему Положению;</w:t>
      </w:r>
    </w:p>
    <w:p>
      <w:pPr>
        <w:pStyle w:val="a9"/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копии дипломов и других наградных документов, подтверждающих участие в заявленной номинации.</w:t>
      </w:r>
    </w:p>
    <w:p>
      <w:pPr>
        <w:pStyle w:val="a9"/>
        <w:numPr>
          <w:ilvl w:val="1"/>
          <w:numId w:val="17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содержании документов недопустимо использование аббревиатур и сокращений.</w:t>
      </w:r>
    </w:p>
    <w:p>
      <w:pPr>
        <w:pStyle w:val="a9"/>
        <w:numPr>
          <w:ilvl w:val="1"/>
          <w:numId w:val="17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 представленным материалам могут прилагаться иные материалы, характеризующие результаты деятельности кандидата на соискание премии.</w:t>
      </w:r>
    </w:p>
    <w:p>
      <w:pPr>
        <w:pStyle w:val="a9"/>
        <w:numPr>
          <w:ilvl w:val="1"/>
          <w:numId w:val="17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Документы, указанные в подпункте 2.4.1 пункта 2.4 настоящего Положения, должны быть подписаны руководителем органа, выдвигающего кандидатуру, и скреплены печатью, подшиты в отдельную папку-скоросшиватель.</w:t>
      </w:r>
    </w:p>
    <w:p>
      <w:pPr>
        <w:pStyle w:val="a9"/>
        <w:numPr>
          <w:ilvl w:val="1"/>
          <w:numId w:val="17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Копии документов должны быть заверены в установленном порядке.</w:t>
      </w:r>
    </w:p>
    <w:p>
      <w:pPr>
        <w:pStyle w:val="a9"/>
        <w:numPr>
          <w:ilvl w:val="1"/>
          <w:numId w:val="17"/>
        </w:numPr>
        <w:tabs>
          <w:tab w:val="left" w:pos="1418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pacing w:val="-20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Документы, представленные на соискание премии, не </w:t>
      </w:r>
      <w:r>
        <w:rPr>
          <w:rFonts w:ascii="PT Astra Serif" w:eastAsia="Times New Roman" w:hAnsi="PT Astra Serif" w:cs="Times New Roman"/>
          <w:spacing w:val="-20"/>
          <w:sz w:val="28"/>
          <w:szCs w:val="28"/>
          <w:lang w:eastAsia="ru-RU"/>
        </w:rPr>
        <w:t>возвращаются.</w:t>
      </w:r>
    </w:p>
    <w:p>
      <w:pPr>
        <w:pStyle w:val="a9"/>
        <w:numPr>
          <w:ilvl w:val="1"/>
          <w:numId w:val="17"/>
        </w:numPr>
        <w:tabs>
          <w:tab w:val="left" w:pos="1418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Документы, представленные не в полном объеме либо                                  с нарушением правил оформления, либо поступившие после окончания установленного срока приема, не рассматриваются.</w:t>
      </w:r>
    </w:p>
    <w:p>
      <w:pPr>
        <w:pStyle w:val="a9"/>
        <w:numPr>
          <w:ilvl w:val="1"/>
          <w:numId w:val="17"/>
        </w:numPr>
        <w:tabs>
          <w:tab w:val="left" w:pos="1418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Повторное выдвижение на соискание премии кандидатур, в отношении которых принято решение о присуждении премии в одной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и той же номинации, возможно не ранее чем через два года после предыдущего награждения, если мотивация соискателя, объемы и направления его деятельности не изменились.</w:t>
      </w:r>
    </w:p>
    <w:p>
      <w:pPr>
        <w:tabs>
          <w:tab w:val="left" w:pos="1418"/>
        </w:tabs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Cs w:val="28"/>
          <w:lang w:eastAsia="ru-RU"/>
        </w:rPr>
      </w:pPr>
    </w:p>
    <w:p>
      <w:pPr>
        <w:pStyle w:val="a9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Порядок присуждения премии</w:t>
      </w:r>
    </w:p>
    <w:p>
      <w:pPr>
        <w:spacing w:after="0" w:line="240" w:lineRule="auto"/>
        <w:contextualSpacing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Для рассмотрения представленных документов и вынесения решения о присуждении премии создается комиссия по присуждению ежегодных премий Главы Тазовского района за достижения в области образования                     (далее – Комиссия). Состав Комиссии утверждается нормативным правовым актом Главы Тазовского района.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Комиссия осуществляет оценку профессиональных и творческих достижений, заслуг международного, всероссийского, регионального, муниципального уровня в соответствии с критериями, указанными                               в приложении № 4 к настоящему Положению.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Минимальный порог баллов, при которых присуждается Премия: 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для обучающихся 1-11 классов общеобразовательных организаций, учреждений дополнительного образования – 100 баллов;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для обучающихся дошкольного возраста организаций дошкольного образования, учреждений дополнительного образования –                        60 баллов;</w:t>
      </w:r>
    </w:p>
    <w:p>
      <w:pPr>
        <w:pStyle w:val="a9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для педагогических работников: наставничество не менее,                         чем 5 обучающихся, сопровождение не менее, чем в 5 конкурсных мероприятиях муниципального, регионального, всероссийского, международного уровня.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 результатам прямого подсчета баллов формируется рейтинг кандидатов.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Достижения из других областей деятельности не учитываются.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случае, если не будет определена кандидатура, достойная присуждения премии по какой-либо номинации за соответствующий период, данная премия по решению Комиссии может быть перераспределена на другие номинации.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Комиссия рассматривает документы в течение 10 дней после завершения срока, установленного для приема документов.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Комиссия вправе запросить дополнительные документы и материалы на кандидата.</w:t>
      </w:r>
    </w:p>
    <w:p>
      <w:pPr>
        <w:pStyle w:val="a9"/>
        <w:numPr>
          <w:ilvl w:val="1"/>
          <w:numId w:val="2"/>
        </w:numPr>
        <w:tabs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Решение Комиссии оформляется протоколом и пересмотру не подлежит.</w:t>
      </w:r>
    </w:p>
    <w:p>
      <w:pPr>
        <w:pStyle w:val="a9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Кандидат, в отношении которого принято решение о присуждении  премии, становится лауреатом Главы Тазовского района и награждается денежной премией (школьники), призом (дошкольники) и именной сувенирной продукцией.</w:t>
      </w:r>
    </w:p>
    <w:p>
      <w:pPr>
        <w:pStyle w:val="a9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Вручение премии осуществляется в День знаний.</w:t>
      </w:r>
    </w:p>
    <w:p>
      <w:pPr>
        <w:pStyle w:val="a9"/>
        <w:numPr>
          <w:ilvl w:val="1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Списки получателей премий публикуются в районной газете «Советское Заполярье».</w:t>
      </w:r>
    </w:p>
    <w:sectPr>
      <w:headerReference w:type="default" r:id="rId7"/>
      <w:pgSz w:w="11906" w:h="16838" w:code="9"/>
      <w:pgMar w:top="1134" w:right="567" w:bottom="1134" w:left="1701" w:header="709" w:footer="12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04560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>
        <w:pPr>
          <w:pStyle w:val="a7"/>
          <w:jc w:val="center"/>
          <w:rPr>
            <w:rFonts w:ascii="PT Astra Serif" w:hAnsi="PT Astra Serif" w:cs="Times New Roman"/>
            <w:sz w:val="24"/>
            <w:szCs w:val="24"/>
          </w:rPr>
        </w:pPr>
        <w:r>
          <w:rPr>
            <w:rFonts w:ascii="PT Astra Serif" w:hAnsi="PT Astra Serif" w:cs="Times New Roman"/>
            <w:sz w:val="24"/>
            <w:szCs w:val="24"/>
          </w:rPr>
          <w:fldChar w:fldCharType="begin"/>
        </w:r>
        <w:r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>
          <w:rPr>
            <w:rFonts w:ascii="PT Astra Serif" w:hAnsi="PT Astra Serif" w:cs="Times New Roman"/>
            <w:sz w:val="24"/>
            <w:szCs w:val="24"/>
          </w:rPr>
          <w:fldChar w:fldCharType="separate"/>
        </w:r>
        <w:r>
          <w:rPr>
            <w:rFonts w:ascii="PT Astra Serif" w:hAnsi="PT Astra Serif" w:cs="Times New Roman"/>
            <w:noProof/>
            <w:sz w:val="24"/>
            <w:szCs w:val="24"/>
          </w:rPr>
          <w:t>4</w:t>
        </w:r>
        <w:r>
          <w:rPr>
            <w:rFonts w:ascii="PT Astra Serif" w:hAnsi="PT Astra Serif" w:cs="Times New Roman"/>
            <w:sz w:val="24"/>
            <w:szCs w:val="24"/>
          </w:rPr>
          <w:fldChar w:fldCharType="end"/>
        </w:r>
      </w:p>
      <w:p>
        <w:pPr>
          <w:pStyle w:val="a7"/>
          <w:jc w:val="center"/>
          <w:rPr>
            <w:rFonts w:ascii="PT Astra Serif" w:hAnsi="PT Astra Serif" w:cs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65DBC"/>
    <w:multiLevelType w:val="hybridMultilevel"/>
    <w:tmpl w:val="6986B776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77EB"/>
    <w:multiLevelType w:val="hybridMultilevel"/>
    <w:tmpl w:val="66BC973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776FE"/>
    <w:multiLevelType w:val="hybridMultilevel"/>
    <w:tmpl w:val="6B3A21F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95F6A"/>
    <w:multiLevelType w:val="multilevel"/>
    <w:tmpl w:val="5D04E1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4D3047B"/>
    <w:multiLevelType w:val="hybridMultilevel"/>
    <w:tmpl w:val="2946ED56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C91EAD"/>
    <w:multiLevelType w:val="hybridMultilevel"/>
    <w:tmpl w:val="08482256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A536E"/>
    <w:multiLevelType w:val="hybridMultilevel"/>
    <w:tmpl w:val="CB0C0F5C"/>
    <w:lvl w:ilvl="0" w:tplc="A894CD0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82939"/>
    <w:multiLevelType w:val="hybridMultilevel"/>
    <w:tmpl w:val="70FAA496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770728"/>
    <w:multiLevelType w:val="hybridMultilevel"/>
    <w:tmpl w:val="958EFEE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90CB6"/>
    <w:multiLevelType w:val="hybridMultilevel"/>
    <w:tmpl w:val="98E29E20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F61E7E"/>
    <w:multiLevelType w:val="hybridMultilevel"/>
    <w:tmpl w:val="1C1CB298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84541"/>
    <w:multiLevelType w:val="hybridMultilevel"/>
    <w:tmpl w:val="11380104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C6B6C"/>
    <w:multiLevelType w:val="hybridMultilevel"/>
    <w:tmpl w:val="CB6A1D8C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63C0B"/>
    <w:multiLevelType w:val="hybridMultilevel"/>
    <w:tmpl w:val="5E48825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12A3A"/>
    <w:multiLevelType w:val="hybridMultilevel"/>
    <w:tmpl w:val="5F9C47F0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EA3D30"/>
    <w:multiLevelType w:val="hybridMultilevel"/>
    <w:tmpl w:val="2DEAF3D0"/>
    <w:lvl w:ilvl="0" w:tplc="A894CD0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7A0480"/>
    <w:multiLevelType w:val="hybridMultilevel"/>
    <w:tmpl w:val="B38C8C08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3476CB"/>
    <w:multiLevelType w:val="hybridMultilevel"/>
    <w:tmpl w:val="43C8AF18"/>
    <w:lvl w:ilvl="0" w:tplc="A894CD0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C65CC"/>
    <w:multiLevelType w:val="multilevel"/>
    <w:tmpl w:val="4A9E242E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F777048"/>
    <w:multiLevelType w:val="multilevel"/>
    <w:tmpl w:val="A9AA510A"/>
    <w:lvl w:ilvl="0">
      <w:start w:val="1"/>
      <w:numFmt w:val="decimal"/>
      <w:lvlText w:val="%1."/>
      <w:lvlJc w:val="left"/>
      <w:pPr>
        <w:ind w:left="1560" w:hanging="15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128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62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3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4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15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1"/>
  </w:num>
  <w:num w:numId="4">
    <w:abstractNumId w:val="12"/>
  </w:num>
  <w:num w:numId="5">
    <w:abstractNumId w:val="13"/>
  </w:num>
  <w:num w:numId="6">
    <w:abstractNumId w:val="4"/>
  </w:num>
  <w:num w:numId="7">
    <w:abstractNumId w:val="10"/>
  </w:num>
  <w:num w:numId="8">
    <w:abstractNumId w:val="5"/>
  </w:num>
  <w:num w:numId="9">
    <w:abstractNumId w:val="16"/>
  </w:num>
  <w:num w:numId="10">
    <w:abstractNumId w:val="0"/>
  </w:num>
  <w:num w:numId="11">
    <w:abstractNumId w:val="2"/>
  </w:num>
  <w:num w:numId="12">
    <w:abstractNumId w:val="11"/>
  </w:num>
  <w:num w:numId="13">
    <w:abstractNumId w:val="7"/>
  </w:num>
  <w:num w:numId="14">
    <w:abstractNumId w:val="9"/>
  </w:num>
  <w:num w:numId="15">
    <w:abstractNumId w:val="14"/>
  </w:num>
  <w:num w:numId="16">
    <w:abstractNumId w:val="17"/>
  </w:num>
  <w:num w:numId="17">
    <w:abstractNumId w:val="3"/>
  </w:num>
  <w:num w:numId="18">
    <w:abstractNumId w:val="6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91D91-93A0-437A-A327-0337E5F4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1719</Words>
  <Characters>9802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Фадеева Алена Михайловна</cp:lastModifiedBy>
  <cp:revision>81</cp:revision>
  <cp:lastPrinted>2021-05-14T11:13:00Z</cp:lastPrinted>
  <dcterms:created xsi:type="dcterms:W3CDTF">2016-09-30T05:08:00Z</dcterms:created>
  <dcterms:modified xsi:type="dcterms:W3CDTF">2021-05-14T11:13:00Z</dcterms:modified>
</cp:coreProperties>
</file>